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7"/>
          <w:szCs w:val="27"/>
        </w:rPr>
      </w:pPr>
      <w:r>
        <w:rPr>
          <w:rFonts w:ascii="NimbusRomNo9L-Regu" w:hAnsi="NimbusRomNo9L-Regu" w:cs="NimbusRomNo9L-Regu"/>
          <w:sz w:val="27"/>
          <w:szCs w:val="27"/>
        </w:rPr>
        <w:t>Editoriale</w:t>
      </w:r>
    </w:p>
    <w:p w:rsidR="00B14E07" w:rsidRDefault="002332D0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</w:t>
      </w:r>
      <w:r w:rsidR="006204BD">
        <w:rPr>
          <w:rFonts w:ascii="NimbusRomNo9L-Regu" w:hAnsi="NimbusRomNo9L-Regu" w:cs="NimbusRomNo9L-Regu"/>
          <w:sz w:val="20"/>
          <w:szCs w:val="20"/>
        </w:rPr>
        <w:t>Una questione</w:t>
      </w:r>
      <w:r w:rsidR="00B14E07">
        <w:rPr>
          <w:rFonts w:ascii="NimbusRomNo9L-Regu" w:hAnsi="NimbusRomNo9L-Regu" w:cs="NimbusRomNo9L-Regu"/>
          <w:sz w:val="20"/>
          <w:szCs w:val="20"/>
        </w:rPr>
        <w:t xml:space="preserve"> </w:t>
      </w:r>
      <w:r w:rsidR="006204BD">
        <w:rPr>
          <w:rFonts w:ascii="NimbusRomNo9L-Regu" w:hAnsi="NimbusRomNo9L-Regu" w:cs="NimbusRomNo9L-Regu"/>
          <w:sz w:val="20"/>
          <w:szCs w:val="20"/>
        </w:rPr>
        <w:t xml:space="preserve">fondamentale sulla quale occorre spendere ancora più di una parola. </w:t>
      </w:r>
    </w:p>
    <w:p w:rsidR="00B14E07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Un’autonomia</w:t>
      </w:r>
      <w:r w:rsidR="00B14E07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didattica che assume la sua pienezza e significatività perché servirà a </w:t>
      </w:r>
    </w:p>
    <w:p w:rsidR="006204BD" w:rsidRDefault="002332D0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</w:t>
      </w:r>
      <w:r w:rsidR="006204BD">
        <w:rPr>
          <w:rFonts w:ascii="NimbusRomNo9L-Regu" w:hAnsi="NimbusRomNo9L-Regu" w:cs="NimbusRomNo9L-Regu"/>
          <w:sz w:val="20"/>
          <w:szCs w:val="20"/>
        </w:rPr>
        <w:t>orrispondere</w:t>
      </w:r>
      <w:r w:rsidR="00B14E07">
        <w:rPr>
          <w:rFonts w:ascii="NimbusRomNo9L-Regu" w:hAnsi="NimbusRomNo9L-Regu" w:cs="NimbusRomNo9L-Regu"/>
          <w:sz w:val="20"/>
          <w:szCs w:val="20"/>
        </w:rPr>
        <w:t xml:space="preserve"> </w:t>
      </w:r>
      <w:r w:rsidR="006204BD">
        <w:rPr>
          <w:rFonts w:ascii="NimbusRomNo9L-Regu" w:hAnsi="NimbusRomNo9L-Regu" w:cs="NimbusRomNo9L-Regu"/>
          <w:sz w:val="20"/>
          <w:szCs w:val="20"/>
        </w:rPr>
        <w:t>alla nuova realtà, già annunciata da un decennio: non ci saranno più programmi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d’insegnamento nazionali ma solo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Indicazioni Nazionali</w:t>
      </w:r>
      <w:r>
        <w:rPr>
          <w:rFonts w:ascii="NimbusRomNo9L-Regu" w:hAnsi="NimbusRomNo9L-Regu" w:cs="NimbusRomNo9L-Regu"/>
          <w:sz w:val="20"/>
          <w:szCs w:val="20"/>
        </w:rPr>
        <w:t>. La differenza va molto più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 là di quella meramente terminologica. Continuare a chiamare programmi quelli che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non sono più tali non è come continuare a chiamare presidi quelli che oggi la legge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definisce dirigenti scolastici. La differenza è molto più di sostanza. I “programmi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nazionali” non esistono più: li definiscono i docenti e le scuole. Una metafora efficace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è quella del viaggio. Definita la meta, il percorso per arrivarci (l’analogo dell’itinerario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didattico) se lo costruiranno, passo dopo passo, i docenti e le scuole. Fondamentale, è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ovvio, sarà indicare le mete con chiarezza e precisione. E questo sarà compito degli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esperti; una responsabilità della gestione amministrativa e del mondo della scuola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della cultura, che dovrà farlo guardando a ciò che si può ritenere essenziale ed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irrinunciabile in uscita da un liceo, da un istituto tecnico o da un professionale.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Le Indicazioni, dunque, costituiranno l’insieme delle mete che gli esperti avranno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selezionato e posto a traguardo dell’azione didattica che tutte le scuole del territorio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nazionale dovranno svolgere. Un’azione, quella dei docenti e delle scuole, tesa non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solo a raggiungere il traguardo ma a tradurlo in un risultato, accertabile e misurabile.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Il significato di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risultato di apprendimento </w:t>
      </w:r>
      <w:r>
        <w:rPr>
          <w:rFonts w:ascii="NimbusRomNo9L-Regu" w:hAnsi="NimbusRomNo9L-Regu" w:cs="NimbusRomNo9L-Regu"/>
          <w:sz w:val="20"/>
          <w:szCs w:val="20"/>
        </w:rPr>
        <w:t>è il principio base su cui fondare il cambiamento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pedagogico. Altra questione è poi la modalità di scrittura: come presentare 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risultati di apprendimento. La forma prescelta è stata quella di declinarli in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conoscenze</w:t>
      </w:r>
      <w:r>
        <w:rPr>
          <w:rFonts w:ascii="NimbusRomNo9L-Regu" w:hAnsi="NimbusRomNo9L-Regu" w:cs="NimbusRomNo9L-Regu"/>
          <w:sz w:val="20"/>
          <w:szCs w:val="20"/>
        </w:rPr>
        <w:t>,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abilità </w:t>
      </w:r>
      <w:r>
        <w:rPr>
          <w:rFonts w:ascii="NimbusRomNo9L-Regu" w:hAnsi="NimbusRomNo9L-Regu" w:cs="NimbusRomNo9L-Regu"/>
          <w:sz w:val="20"/>
          <w:szCs w:val="20"/>
        </w:rPr>
        <w:t xml:space="preserve">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competenze </w:t>
      </w:r>
      <w:r>
        <w:rPr>
          <w:rFonts w:ascii="NimbusRomNo9L-Regu" w:hAnsi="NimbusRomNo9L-Regu" w:cs="NimbusRomNo9L-Regu"/>
          <w:sz w:val="20"/>
          <w:szCs w:val="20"/>
        </w:rPr>
        <w:t>secondo lo schema varato in sede europea. La definizione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accettata (Raccomandazione del parlamento europeo e del consiglio del 18 giugno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2009) è questa: «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risultati dell’apprendimento: l’indicazione in termini di conoscenze,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abilità e competenze di ciò che un beneficiario di una formazione sa, comprende ed è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in grado di fare una volta che ha completato un processo di apprendimento</w:t>
      </w:r>
      <w:r>
        <w:rPr>
          <w:rFonts w:ascii="NimbusRomNo9L-Regu" w:hAnsi="NimbusRomNo9L-Regu" w:cs="NimbusRomNo9L-Regu"/>
          <w:sz w:val="20"/>
          <w:szCs w:val="20"/>
        </w:rPr>
        <w:t>». Quello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che importa, dunque, è la comprensibilità dei “risultati” e non perdersi a discettare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su ciò che è conoscenza e su ciò che non lo è, perché è abilità o anche competenza,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 affannarsi a stabilire possibili gerarchie tra queste. La definizione stimola ad una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lettura unitaria e complessiva di competenze, abilità e conoscenze, intendendole né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più né meno per quello che sono: lo strumento utilizzato per esprimere i “risultati” con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la massima completezza e la massima comprensibilità possibili. Fondamentale sarà,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per tutti, aver compreso che non si tratta di scrivere programmi e aver abbandonato la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presunzione di sapere come si insegna con la pretesa di poter dettagliare, una volta per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sempre, il “che cosa” e il “come” insegnare. Uguale lettura dovrà muovere i docenti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guidandoli alla individuazione di ciò che è essenziale insegnare e far apprendere ai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propri allievi ricostruendo legami e consequenzialità, logiche e didattiche. Il processo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cambiamento sarà così avviato, dominato da</w:t>
      </w:r>
      <w:r w:rsidR="00B14E07">
        <w:rPr>
          <w:rFonts w:ascii="NimbusRomNo9L-Regu" w:hAnsi="NimbusRomNo9L-Regu" w:cs="NimbusRomNo9L-Regu"/>
          <w:sz w:val="20"/>
          <w:szCs w:val="20"/>
        </w:rPr>
        <w:t>lla professionalità dei docenti(…)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Un complesso di problemi reali che è tempo di affrontare con stile matematico.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Uno stile che è della vera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signorìa</w:t>
      </w:r>
      <w:r>
        <w:rPr>
          <w:rFonts w:ascii="NimbusRomNo9L-Regu" w:hAnsi="NimbusRomNo9L-Regu" w:cs="NimbusRomNo9L-Regu"/>
          <w:sz w:val="20"/>
          <w:szCs w:val="20"/>
        </w:rPr>
        <w:t xml:space="preserve">, esercizio della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ragione </w:t>
      </w:r>
      <w:r>
        <w:rPr>
          <w:rFonts w:ascii="NimbusRomNo9L-Regu" w:hAnsi="NimbusRomNo9L-Regu" w:cs="NimbusRomNo9L-Regu"/>
          <w:sz w:val="20"/>
          <w:szCs w:val="20"/>
        </w:rPr>
        <w:t xml:space="preserve">e della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giustizia</w:t>
      </w:r>
      <w:r>
        <w:rPr>
          <w:rFonts w:ascii="NimbusRomNo9L-Regu" w:hAnsi="NimbusRomNo9L-Regu" w:cs="NimbusRomNo9L-Regu"/>
          <w:sz w:val="20"/>
          <w:szCs w:val="20"/>
        </w:rPr>
        <w:t>, della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uguaglianza </w:t>
      </w:r>
      <w:r>
        <w:rPr>
          <w:rFonts w:ascii="NimbusRomNo9L-Regu" w:hAnsi="NimbusRomNo9L-Regu" w:cs="NimbusRomNo9L-Regu"/>
          <w:sz w:val="20"/>
          <w:szCs w:val="20"/>
        </w:rPr>
        <w:t xml:space="preserve">e della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democrazia</w:t>
      </w:r>
      <w:r>
        <w:rPr>
          <w:rFonts w:ascii="NimbusRomNo9L-Regu" w:hAnsi="NimbusRomNo9L-Regu" w:cs="NimbusRomNo9L-Regu"/>
          <w:sz w:val="20"/>
          <w:szCs w:val="20"/>
        </w:rPr>
        <w:t>. Uno stile che non c’entra nulla con la signorìa di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chi si arroga diritti di prevalenza che non ha, come è oggi nei grandi poteri dello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Stato assegnati non in base ad un discutibile merito da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spoil system </w:t>
      </w:r>
      <w:r>
        <w:rPr>
          <w:rFonts w:ascii="NimbusRomNo9L-Regu" w:hAnsi="NimbusRomNo9L-Regu" w:cs="NimbusRomNo9L-Regu"/>
          <w:sz w:val="20"/>
          <w:szCs w:val="20"/>
        </w:rPr>
        <w:t>e con la signorìa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che provvede alla distribuzione delle ricchezze concentrate in percentuali sempre più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delimitate di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elites</w:t>
      </w:r>
      <w:r>
        <w:rPr>
          <w:rFonts w:ascii="NimbusRomNo9L-Regu" w:hAnsi="NimbusRomNo9L-Regu" w:cs="NimbusRomNo9L-Regu"/>
          <w:sz w:val="20"/>
          <w:szCs w:val="20"/>
        </w:rPr>
        <w:t xml:space="preserve">. Ed è blasfemo ricercarvi la giustificazione nel detto evangelico,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chi ha sarà dato sempre di più</w:t>
      </w:r>
      <w:r>
        <w:rPr>
          <w:rFonts w:ascii="NimbusRomNo9L-Regu" w:hAnsi="NimbusRomNo9L-Regu" w:cs="NimbusRomNo9L-Regu"/>
          <w:sz w:val="20"/>
          <w:szCs w:val="20"/>
        </w:rPr>
        <w:t>. A fondamento vi è solo l’auto-affermazione di ristrette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cerchie di potere che proprio per questo divengono sempre più omertose al proprio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interno difendendo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status </w:t>
      </w:r>
      <w:r>
        <w:rPr>
          <w:rFonts w:ascii="NimbusRomNo9L-Regu" w:hAnsi="NimbusRomNo9L-Regu" w:cs="NimbusRomNo9L-Regu"/>
          <w:sz w:val="20"/>
          <w:szCs w:val="20"/>
        </w:rPr>
        <w:t>e posizioni di dominio. Lo stile matematico s’imporrà, fra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l’altro, a far risaltare non la vergogna, come taluni affermano, di stipendi irrisori (e ne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esistono altri ancor più bassi di quelli dei docenti!) quanto la vertigine provocata dal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divario abissale, anzi immorale, scavato col retribuire determinate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funzioni di sistema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con compensi ingiustificabili, a volte pari alla somma degli stipendi di tanti insegnanti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messi insieme.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È tempo di instaurare una nuova Signorìa, . . . della Matematica! La fiducia è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riposta in loro, gli Insegnanti, che, tutt’altro che fannulloni, impareranno sempre di</w:t>
      </w:r>
    </w:p>
    <w:p w:rsidR="006204BD" w:rsidRDefault="006204BD" w:rsidP="006204B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più ad esserlo: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homines dum docent discunt</w:t>
      </w:r>
      <w:r>
        <w:rPr>
          <w:rFonts w:ascii="NimbusRomNo9L-Regu" w:hAnsi="NimbusRomNo9L-Regu" w:cs="NimbusRomNo9L-Regu"/>
          <w:sz w:val="20"/>
          <w:szCs w:val="20"/>
        </w:rPr>
        <w:t>.</w:t>
      </w:r>
    </w:p>
    <w:p w:rsidR="00BC6412" w:rsidRDefault="006204BD" w:rsidP="006204BD">
      <w:r>
        <w:rPr>
          <w:rFonts w:ascii="NimbusRomNo9L-ReguItal" w:hAnsi="NimbusRomNo9L-ReguItal" w:cs="NimbusRomNo9L-ReguItal"/>
          <w:i/>
          <w:iCs/>
          <w:sz w:val="20"/>
          <w:szCs w:val="20"/>
        </w:rPr>
        <w:t>Emilio Ambrisi</w:t>
      </w:r>
    </w:p>
    <w:sectPr w:rsidR="00BC6412" w:rsidSect="00BC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204BD"/>
    <w:rsid w:val="002332D0"/>
    <w:rsid w:val="006204BD"/>
    <w:rsid w:val="00A3455F"/>
    <w:rsid w:val="00B14E07"/>
    <w:rsid w:val="00BC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2010-10-30T19:11:00Z</dcterms:created>
  <dcterms:modified xsi:type="dcterms:W3CDTF">2010-10-30T19:18:00Z</dcterms:modified>
</cp:coreProperties>
</file>